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6506" w14:textId="7459BE5A" w:rsidR="001B2226" w:rsidRDefault="001B2226" w:rsidP="001B2226">
      <w:pPr>
        <w:rPr>
          <w:rFonts w:cs="Arial"/>
          <w:b/>
          <w:bCs/>
          <w:lang w:val="en-US"/>
        </w:rPr>
      </w:pPr>
      <w:bookmarkStart w:id="0" w:name="_Hlk513462263"/>
      <w:bookmarkStart w:id="1" w:name="_GoBack"/>
      <w:bookmarkEnd w:id="1"/>
      <w:r w:rsidRPr="005652BB">
        <w:rPr>
          <w:noProof/>
          <w:sz w:val="20"/>
          <w:szCs w:val="20"/>
          <w:lang w:val="en-US"/>
        </w:rPr>
        <w:drawing>
          <wp:inline distT="0" distB="0" distL="114300" distR="114300" wp14:anchorId="6F682748" wp14:editId="09B7E554">
            <wp:extent cx="929005" cy="1155700"/>
            <wp:effectExtent l="0" t="0" r="4445" b="6350"/>
            <wp:docPr id="1" name="Picture 1" descr="European Disability Forum (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ropean Disability Forum (EDF) logo"/>
                    <pic:cNvPicPr>
                      <a:picLocks noChangeAspect="1"/>
                    </pic:cNvPicPr>
                  </pic:nvPicPr>
                  <pic:blipFill>
                    <a:blip r:embed="rId11"/>
                    <a:stretch>
                      <a:fillRect/>
                    </a:stretch>
                  </pic:blipFill>
                  <pic:spPr>
                    <a:xfrm>
                      <a:off x="0" y="0"/>
                      <a:ext cx="929005" cy="1155700"/>
                    </a:xfrm>
                    <a:prstGeom prst="rect">
                      <a:avLst/>
                    </a:prstGeom>
                  </pic:spPr>
                </pic:pic>
              </a:graphicData>
            </a:graphic>
          </wp:inline>
        </w:drawing>
      </w:r>
      <w:r>
        <w:rPr>
          <w:rFonts w:cs="Arial"/>
          <w:b/>
          <w:bCs/>
          <w:lang w:val="en-US"/>
        </w:rPr>
        <w:tab/>
      </w:r>
      <w:r>
        <w:rPr>
          <w:rFonts w:cs="Arial"/>
          <w:b/>
          <w:bCs/>
          <w:lang w:val="en-US"/>
        </w:rPr>
        <w:tab/>
      </w:r>
      <w:r>
        <w:rPr>
          <w:rFonts w:cs="Arial"/>
          <w:b/>
          <w:bCs/>
          <w:lang w:val="en-US"/>
        </w:rPr>
        <w:tab/>
      </w:r>
      <w:r>
        <w:rPr>
          <w:rFonts w:cs="Arial"/>
          <w:b/>
          <w:bCs/>
          <w:lang w:val="en-US"/>
        </w:rPr>
        <w:tab/>
      </w:r>
      <w:r>
        <w:rPr>
          <w:rFonts w:cs="Arial"/>
          <w:b/>
          <w:bCs/>
          <w:lang w:val="en-US"/>
        </w:rPr>
        <w:tab/>
      </w:r>
      <w:r>
        <w:rPr>
          <w:rFonts w:cs="Arial"/>
          <w:b/>
          <w:bCs/>
          <w:lang w:val="en-US"/>
        </w:rPr>
        <w:tab/>
      </w:r>
      <w:r>
        <w:rPr>
          <w:rFonts w:cs="Arial"/>
          <w:b/>
          <w:bCs/>
          <w:lang w:val="en-US"/>
        </w:rPr>
        <w:tab/>
      </w:r>
      <w:r w:rsidRPr="005652BB">
        <w:rPr>
          <w:noProof/>
          <w:sz w:val="20"/>
          <w:szCs w:val="20"/>
          <w:lang w:val="en-US"/>
        </w:rPr>
        <w:drawing>
          <wp:inline distT="0" distB="0" distL="0" distR="0" wp14:anchorId="5BFC4579" wp14:editId="78021975">
            <wp:extent cx="1684020" cy="816977"/>
            <wp:effectExtent l="0" t="0" r="0" b="2540"/>
            <wp:docPr id="4" name="Picture 4" descr="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national Disability and Development Consortium (IDDC) logo"/>
                    <pic:cNvPicPr>
                      <a:picLocks noChangeAspect="1"/>
                    </pic:cNvPicPr>
                  </pic:nvPicPr>
                  <pic:blipFill>
                    <a:blip r:embed="rId12"/>
                    <a:stretch>
                      <a:fillRect/>
                    </a:stretch>
                  </pic:blipFill>
                  <pic:spPr>
                    <a:xfrm>
                      <a:off x="0" y="0"/>
                      <a:ext cx="1684020" cy="816977"/>
                    </a:xfrm>
                    <a:prstGeom prst="rect">
                      <a:avLst/>
                    </a:prstGeom>
                  </pic:spPr>
                </pic:pic>
              </a:graphicData>
            </a:graphic>
          </wp:inline>
        </w:drawing>
      </w:r>
    </w:p>
    <w:p w14:paraId="67267FAD" w14:textId="77777777" w:rsidR="001B2226" w:rsidRPr="001B2226" w:rsidRDefault="34777304" w:rsidP="001B2226">
      <w:pPr>
        <w:pStyle w:val="Title"/>
        <w:spacing w:after="120"/>
        <w:rPr>
          <w:rFonts w:ascii="Arial" w:hAnsi="Arial" w:cs="Arial"/>
          <w:b/>
          <w:bCs/>
          <w:lang w:val="en-US"/>
        </w:rPr>
      </w:pPr>
      <w:r w:rsidRPr="001B2226">
        <w:rPr>
          <w:rFonts w:ascii="Arial" w:hAnsi="Arial" w:cs="Arial"/>
          <w:b/>
          <w:bCs/>
          <w:sz w:val="36"/>
          <w:szCs w:val="36"/>
          <w:lang w:val="en-US"/>
        </w:rPr>
        <w:t xml:space="preserve">Release of the new EU Guidance note on the inclusion of persons with disabilities in EU global actions </w:t>
      </w:r>
    </w:p>
    <w:p w14:paraId="48806CB8" w14:textId="34A6AC82" w:rsidR="00A93AE3" w:rsidRPr="005B5310" w:rsidRDefault="001B2226" w:rsidP="001B2226">
      <w:pPr>
        <w:pStyle w:val="Subtitle"/>
        <w:rPr>
          <w:rFonts w:ascii="Arial" w:hAnsi="Arial" w:cs="Arial"/>
          <w:b/>
          <w:bCs/>
          <w:color w:val="auto"/>
          <w:sz w:val="28"/>
          <w:szCs w:val="28"/>
          <w:lang w:val="en-US"/>
        </w:rPr>
      </w:pPr>
      <w:r w:rsidRPr="005B5310">
        <w:rPr>
          <w:rFonts w:ascii="Arial" w:hAnsi="Arial" w:cs="Arial"/>
          <w:b/>
          <w:bCs/>
          <w:color w:val="auto"/>
          <w:sz w:val="28"/>
          <w:szCs w:val="28"/>
          <w:lang w:val="en-US"/>
        </w:rPr>
        <w:t>Jo</w:t>
      </w:r>
      <w:r w:rsidR="34777304" w:rsidRPr="005B5310">
        <w:rPr>
          <w:rFonts w:ascii="Arial" w:hAnsi="Arial" w:cs="Arial"/>
          <w:b/>
          <w:bCs/>
          <w:color w:val="auto"/>
          <w:sz w:val="28"/>
          <w:szCs w:val="28"/>
          <w:lang w:val="en-US"/>
        </w:rPr>
        <w:t>int reaction by EDF and IDDC</w:t>
      </w:r>
    </w:p>
    <w:p w14:paraId="608D5CB3" w14:textId="2A2A1CD7" w:rsidR="001B2226" w:rsidRDefault="21F19454" w:rsidP="001B2226">
      <w:pPr>
        <w:rPr>
          <w:rFonts w:cs="Arial"/>
          <w:lang w:val="en-US"/>
        </w:rPr>
      </w:pPr>
      <w:r w:rsidRPr="651F4D12">
        <w:rPr>
          <w:rFonts w:cs="Arial"/>
          <w:lang w:val="en-US"/>
        </w:rPr>
        <w:t>2</w:t>
      </w:r>
      <w:r w:rsidR="001B2226">
        <w:rPr>
          <w:rFonts w:cs="Arial"/>
          <w:lang w:val="en-US"/>
        </w:rPr>
        <w:t>8</w:t>
      </w:r>
      <w:r w:rsidRPr="651F4D12">
        <w:rPr>
          <w:rFonts w:cs="Arial"/>
          <w:vertAlign w:val="superscript"/>
          <w:lang w:val="en-US"/>
        </w:rPr>
        <w:t>th</w:t>
      </w:r>
      <w:r w:rsidRPr="651F4D12">
        <w:rPr>
          <w:rFonts w:cs="Arial"/>
          <w:lang w:val="en-US"/>
        </w:rPr>
        <w:t xml:space="preserve"> March 2023</w:t>
      </w:r>
    </w:p>
    <w:p w14:paraId="7DDE5CF3" w14:textId="7DE8534F" w:rsidR="00C47E6E" w:rsidRDefault="34777304" w:rsidP="001B2226">
      <w:pPr>
        <w:spacing w:line="240" w:lineRule="auto"/>
        <w:rPr>
          <w:rFonts w:cs="Arial"/>
          <w:lang w:val="en-GB"/>
        </w:rPr>
      </w:pPr>
      <w:r w:rsidRPr="34777304">
        <w:rPr>
          <w:rFonts w:cs="Arial"/>
          <w:lang w:val="en-GB"/>
        </w:rPr>
        <w:t xml:space="preserve">The </w:t>
      </w:r>
      <w:hyperlink r:id="rId13" w:history="1">
        <w:r w:rsidRPr="001B2226">
          <w:rPr>
            <w:rStyle w:val="Hyperlink"/>
            <w:rFonts w:cs="Arial"/>
            <w:lang w:val="en-GB"/>
          </w:rPr>
          <w:t>European Disability Forum</w:t>
        </w:r>
      </w:hyperlink>
      <w:r w:rsidRPr="34777304">
        <w:rPr>
          <w:rFonts w:cs="Arial"/>
          <w:lang w:val="en-GB"/>
        </w:rPr>
        <w:t xml:space="preserve"> (EDF) and the </w:t>
      </w:r>
      <w:hyperlink r:id="rId14">
        <w:r w:rsidRPr="34777304">
          <w:rPr>
            <w:rStyle w:val="Hyperlink"/>
            <w:rFonts w:cs="Arial"/>
            <w:lang w:val="en-GB"/>
          </w:rPr>
          <w:t>International Disability and Development Consortium</w:t>
        </w:r>
      </w:hyperlink>
      <w:r w:rsidRPr="34777304">
        <w:rPr>
          <w:rFonts w:cs="Arial"/>
          <w:lang w:val="en-GB"/>
        </w:rPr>
        <w:t xml:space="preserve"> (IDDC) welcome the new European Union </w:t>
      </w:r>
      <w:hyperlink r:id="rId15">
        <w:r w:rsidRPr="34777304">
          <w:rPr>
            <w:rStyle w:val="Hyperlink"/>
            <w:rFonts w:cs="Arial"/>
            <w:lang w:val="en-GB"/>
          </w:rPr>
          <w:t>Guidance Note on "Leaving no one behind - Disability Inclusion in EU External Action”</w:t>
        </w:r>
      </w:hyperlink>
      <w:r w:rsidRPr="34777304">
        <w:rPr>
          <w:rFonts w:cs="Arial"/>
          <w:lang w:val="en-GB"/>
        </w:rPr>
        <w:t>. With this new publication, the EU recognises the need for its staff and delegations around the world to further work on the implementation of the UN Convention on the Rights of Persons with Disabilities (CRPD), which the EU ratified in 2010. It acknowledges that disability inclusion is essential to achieve sustainable development, peace, and human rights in the world.</w:t>
      </w:r>
    </w:p>
    <w:p w14:paraId="5D2CE1CB" w14:textId="0E447406" w:rsidR="011DF2AE" w:rsidRDefault="34777304" w:rsidP="001B2226">
      <w:pPr>
        <w:spacing w:line="240" w:lineRule="auto"/>
        <w:rPr>
          <w:rFonts w:cs="Arial"/>
          <w:lang w:val="en-GB"/>
        </w:rPr>
      </w:pPr>
      <w:r w:rsidRPr="34777304">
        <w:rPr>
          <w:rFonts w:cs="Arial"/>
          <w:lang w:val="en-GB"/>
        </w:rPr>
        <w:t xml:space="preserve">This guidance note is a welcome example of the EU’s increasing efforts to promoting disability-inclusive development in policies and programmes, ensuring that persons with disabilities are not left behind in EU external action. We also take notice of the two technical briefs within the guidance note on </w:t>
      </w:r>
      <w:hyperlink r:id="rId16" w:history="1">
        <w:r w:rsidRPr="001B2226">
          <w:rPr>
            <w:rStyle w:val="Hyperlink"/>
            <w:rFonts w:cs="Arial"/>
            <w:lang w:val="en-GB"/>
          </w:rPr>
          <w:t>Disability Inclusion, Gender Equality and Women’s Empowerment</w:t>
        </w:r>
      </w:hyperlink>
      <w:r w:rsidRPr="34777304">
        <w:rPr>
          <w:rFonts w:cs="Arial"/>
          <w:lang w:val="en-GB"/>
        </w:rPr>
        <w:t xml:space="preserve"> and </w:t>
      </w:r>
      <w:hyperlink r:id="rId17" w:history="1">
        <w:r w:rsidRPr="001B2226">
          <w:rPr>
            <w:rStyle w:val="Hyperlink"/>
            <w:rFonts w:cs="Arial"/>
            <w:lang w:val="en-GB"/>
          </w:rPr>
          <w:t>Disability Inclusion and Climate priorities</w:t>
        </w:r>
      </w:hyperlink>
      <w:r w:rsidRPr="34777304">
        <w:rPr>
          <w:rFonts w:cs="Arial"/>
          <w:lang w:val="en-GB"/>
        </w:rPr>
        <w:t xml:space="preserve">. We commend the EU’s participation in and commitments made at the Global Disability Summit 2022, and its decision to co-host in Brussels the next global meeting of the GLAD Network, the network of donors and other stakeholders with a focus on disability inclusion. We praise the EU use of the Organisation for Economic Cooperation and Development’s Development Assistance Committee (OECD-DAC) disability marker to 100% of all its Overseas Development Assistance (ODA). </w:t>
      </w:r>
    </w:p>
    <w:p w14:paraId="196AB160" w14:textId="339B31C6" w:rsidR="00E23A32" w:rsidRPr="00E53B70" w:rsidRDefault="34777304" w:rsidP="001B2226">
      <w:pPr>
        <w:spacing w:line="240" w:lineRule="auto"/>
        <w:rPr>
          <w:rFonts w:eastAsia="Arial" w:cs="Arial"/>
          <w:szCs w:val="24"/>
          <w:lang w:val="en-GB"/>
        </w:rPr>
      </w:pPr>
      <w:r w:rsidRPr="34777304">
        <w:rPr>
          <w:rFonts w:eastAsia="Arial" w:cs="Arial"/>
          <w:szCs w:val="24"/>
          <w:lang w:val="en-GB"/>
        </w:rPr>
        <w:t xml:space="preserve">This guidance note will deliver improved practices only if it is properly rolled out, implemented, and resourced. This requires investments in </w:t>
      </w:r>
      <w:r w:rsidRPr="34777304">
        <w:rPr>
          <w:rFonts w:eastAsia="Arial" w:cs="Arial"/>
          <w:b/>
          <w:bCs/>
          <w:szCs w:val="24"/>
          <w:lang w:val="en-GB"/>
        </w:rPr>
        <w:t>training of EU staff working in EU external action</w:t>
      </w:r>
      <w:r w:rsidRPr="34777304">
        <w:rPr>
          <w:rFonts w:eastAsia="Arial" w:cs="Arial"/>
          <w:szCs w:val="24"/>
          <w:lang w:val="en-GB"/>
        </w:rPr>
        <w:t xml:space="preserve">, and the </w:t>
      </w:r>
      <w:r w:rsidRPr="34777304">
        <w:rPr>
          <w:rFonts w:eastAsia="Arial" w:cs="Arial"/>
          <w:b/>
          <w:bCs/>
          <w:szCs w:val="24"/>
          <w:lang w:val="en-GB"/>
        </w:rPr>
        <w:t>appointment of disability focal points in delegations</w:t>
      </w:r>
      <w:r w:rsidRPr="34777304">
        <w:rPr>
          <w:rFonts w:eastAsia="Arial" w:cs="Arial"/>
          <w:szCs w:val="24"/>
          <w:lang w:val="en-GB"/>
        </w:rPr>
        <w:t xml:space="preserve">. This also calls for strengthening the </w:t>
      </w:r>
      <w:r w:rsidRPr="34777304">
        <w:rPr>
          <w:rFonts w:eastAsia="Arial" w:cs="Arial"/>
          <w:b/>
          <w:bCs/>
          <w:szCs w:val="24"/>
          <w:lang w:val="en-GB"/>
        </w:rPr>
        <w:t>dialogue with OPDs</w:t>
      </w:r>
      <w:r w:rsidRPr="34777304">
        <w:rPr>
          <w:rFonts w:eastAsia="Arial" w:cs="Arial"/>
          <w:szCs w:val="24"/>
          <w:lang w:val="en-GB"/>
        </w:rPr>
        <w:t>, and their meaningful participation in broader structured dialogue with civil society, both at Headquarters and delegation levels. EDF and IDDC stand ready to support the EU in this process.</w:t>
      </w:r>
    </w:p>
    <w:p w14:paraId="0C7AB8F6" w14:textId="1B661D2B" w:rsidR="00E23A32" w:rsidRPr="00E53B70" w:rsidRDefault="34777304" w:rsidP="001B2226">
      <w:pPr>
        <w:spacing w:line="240" w:lineRule="auto"/>
        <w:rPr>
          <w:rFonts w:eastAsia="Arial" w:cs="Arial"/>
          <w:szCs w:val="24"/>
          <w:lang w:val="en-GB"/>
        </w:rPr>
      </w:pPr>
      <w:r w:rsidRPr="34777304">
        <w:rPr>
          <w:rFonts w:eastAsia="Arial" w:cs="Arial"/>
          <w:szCs w:val="24"/>
          <w:lang w:val="en-GB"/>
        </w:rPr>
        <w:t xml:space="preserve">It will be important to monitor the use of the Guidance Note and update it regularly, based on lessons learned and future recommendations by the UN Committee on the Rights of Persons with Disabilities. </w:t>
      </w:r>
    </w:p>
    <w:p w14:paraId="27FFA141" w14:textId="229266C8" w:rsidR="00E23A32" w:rsidRPr="00E53B70" w:rsidRDefault="34777304" w:rsidP="001B2226">
      <w:pPr>
        <w:spacing w:line="240" w:lineRule="auto"/>
        <w:rPr>
          <w:rFonts w:cs="Arial"/>
          <w:lang w:val="en-GB"/>
        </w:rPr>
      </w:pPr>
      <w:r w:rsidRPr="34777304">
        <w:rPr>
          <w:rFonts w:eastAsia="Arial" w:cs="Arial"/>
          <w:szCs w:val="24"/>
          <w:lang w:val="en-GB"/>
        </w:rPr>
        <w:t xml:space="preserve">In order to have a clear roadmap for all internal and external stakeholders, </w:t>
      </w:r>
      <w:r w:rsidRPr="34777304">
        <w:rPr>
          <w:rFonts w:eastAsia="Arial" w:cs="Arial"/>
          <w:b/>
          <w:bCs/>
          <w:szCs w:val="24"/>
          <w:lang w:val="en-GB"/>
        </w:rPr>
        <w:t>we urge the EU to adopt an action plan for its external action on promoting and respecting the rights of persons with disabilities</w:t>
      </w:r>
      <w:r w:rsidRPr="34777304">
        <w:rPr>
          <w:rFonts w:eastAsia="Arial" w:cs="Arial"/>
          <w:szCs w:val="24"/>
          <w:lang w:val="en-GB"/>
        </w:rPr>
        <w:t>, including appropriate resources and how it will support partner countries to implement the CRPD.</w:t>
      </w:r>
      <w:r w:rsidRPr="34777304">
        <w:rPr>
          <w:rFonts w:cs="Arial"/>
          <w:lang w:val="en-GB"/>
        </w:rPr>
        <w:t xml:space="preserve"> By working together, we can create a more inclusive and sustainable world for all.</w:t>
      </w:r>
    </w:p>
    <w:bookmarkEnd w:id="0"/>
    <w:p w14:paraId="7F9B58CE" w14:textId="15880C92" w:rsidR="4EE81C61" w:rsidRDefault="34777304" w:rsidP="001B2226">
      <w:pPr>
        <w:spacing w:line="240" w:lineRule="auto"/>
        <w:rPr>
          <w:rFonts w:eastAsia="Arial" w:cs="Arial"/>
          <w:szCs w:val="24"/>
          <w:lang w:val="en-GB"/>
        </w:rPr>
      </w:pPr>
      <w:r w:rsidRPr="34777304">
        <w:rPr>
          <w:rFonts w:eastAsia="Arial" w:cs="Arial"/>
          <w:b/>
          <w:bCs/>
          <w:szCs w:val="24"/>
          <w:lang w:val="en-GB"/>
        </w:rPr>
        <w:lastRenderedPageBreak/>
        <w:t>More information:</w:t>
      </w:r>
    </w:p>
    <w:p w14:paraId="076E7044" w14:textId="22A61D43" w:rsidR="4EE81C61" w:rsidRDefault="34777304" w:rsidP="001B2226">
      <w:pPr>
        <w:pStyle w:val="ListParagraph"/>
        <w:numPr>
          <w:ilvl w:val="0"/>
          <w:numId w:val="2"/>
        </w:numPr>
        <w:spacing w:line="240" w:lineRule="auto"/>
        <w:rPr>
          <w:rFonts w:eastAsia="Arial" w:cs="Arial"/>
          <w:szCs w:val="24"/>
          <w:lang w:val="en-GB"/>
        </w:rPr>
      </w:pPr>
      <w:r w:rsidRPr="34777304">
        <w:rPr>
          <w:rFonts w:eastAsia="Arial" w:cs="Arial"/>
          <w:szCs w:val="24"/>
          <w:lang w:val="en-GB"/>
        </w:rPr>
        <w:t xml:space="preserve">Marion Steff, International Cooperation Manager, </w:t>
      </w:r>
      <w:hyperlink r:id="rId18">
        <w:r w:rsidRPr="34777304">
          <w:rPr>
            <w:rStyle w:val="Hyperlink"/>
            <w:rFonts w:eastAsia="Arial" w:cs="Arial"/>
            <w:szCs w:val="24"/>
            <w:lang w:val="en-GB"/>
          </w:rPr>
          <w:t>marion.steff@edf-feph.org</w:t>
        </w:r>
      </w:hyperlink>
      <w:r w:rsidRPr="34777304">
        <w:rPr>
          <w:rFonts w:eastAsia="Arial" w:cs="Arial"/>
          <w:szCs w:val="24"/>
          <w:lang w:val="en-GB"/>
        </w:rPr>
        <w:t xml:space="preserve"> </w:t>
      </w:r>
    </w:p>
    <w:p w14:paraId="036321E4" w14:textId="2D2E899C" w:rsidR="4EE81C61" w:rsidRPr="00117782" w:rsidRDefault="34777304" w:rsidP="001B2226">
      <w:pPr>
        <w:pStyle w:val="ListParagraph"/>
        <w:numPr>
          <w:ilvl w:val="0"/>
          <w:numId w:val="2"/>
        </w:numPr>
        <w:spacing w:line="240" w:lineRule="auto"/>
        <w:rPr>
          <w:lang w:val="en-GB"/>
        </w:rPr>
      </w:pPr>
      <w:r w:rsidRPr="34777304">
        <w:rPr>
          <w:rFonts w:eastAsia="Arial" w:cs="Arial"/>
          <w:szCs w:val="24"/>
          <w:lang w:val="en-GB"/>
        </w:rPr>
        <w:t xml:space="preserve">Sarah Hull, IDDC EU Task Group Coordinator, </w:t>
      </w:r>
      <w:hyperlink r:id="rId19">
        <w:r w:rsidRPr="34777304">
          <w:rPr>
            <w:rStyle w:val="Hyperlink"/>
            <w:rFonts w:eastAsia="Arial" w:cs="Arial"/>
            <w:szCs w:val="24"/>
            <w:lang w:val="en-GB"/>
          </w:rPr>
          <w:t>s.hull@light-for-the-world.org</w:t>
        </w:r>
      </w:hyperlink>
      <w:r w:rsidRPr="34777304">
        <w:rPr>
          <w:rFonts w:eastAsia="Arial" w:cs="Arial"/>
          <w:szCs w:val="24"/>
          <w:lang w:val="en-GB"/>
        </w:rPr>
        <w:t xml:space="preserve"> </w:t>
      </w:r>
    </w:p>
    <w:p w14:paraId="5252065F" w14:textId="2586A635" w:rsidR="34777304" w:rsidRDefault="34777304" w:rsidP="001B2226">
      <w:pPr>
        <w:spacing w:line="240" w:lineRule="auto"/>
        <w:rPr>
          <w:rFonts w:eastAsia="Arial" w:cs="Arial"/>
          <w:b/>
          <w:bCs/>
          <w:szCs w:val="24"/>
          <w:lang w:val="en-GB"/>
        </w:rPr>
      </w:pPr>
      <w:r w:rsidRPr="34777304">
        <w:rPr>
          <w:rFonts w:eastAsia="Arial" w:cs="Arial"/>
          <w:b/>
          <w:bCs/>
          <w:szCs w:val="24"/>
          <w:lang w:val="en-GB"/>
        </w:rPr>
        <w:t xml:space="preserve">Other resources: </w:t>
      </w:r>
    </w:p>
    <w:p w14:paraId="35115DDE" w14:textId="0AFD5EED" w:rsidR="34777304" w:rsidRDefault="00541C9F" w:rsidP="001B2226">
      <w:pPr>
        <w:spacing w:line="240" w:lineRule="auto"/>
        <w:rPr>
          <w:rFonts w:eastAsia="Arial" w:cs="Arial"/>
          <w:szCs w:val="24"/>
          <w:lang w:val="en-GB"/>
        </w:rPr>
      </w:pPr>
      <w:hyperlink r:id="rId20">
        <w:r w:rsidR="34777304" w:rsidRPr="34777304">
          <w:rPr>
            <w:rStyle w:val="Hyperlink"/>
            <w:rFonts w:eastAsia="Arial" w:cs="Arial"/>
            <w:szCs w:val="24"/>
            <w:lang w:val="en-GB"/>
          </w:rPr>
          <w:t>EDF two new toolkits</w:t>
        </w:r>
      </w:hyperlink>
      <w:r w:rsidR="34777304" w:rsidRPr="34777304">
        <w:rPr>
          <w:rFonts w:eastAsia="Arial" w:cs="Arial"/>
          <w:szCs w:val="24"/>
          <w:lang w:val="en-GB"/>
        </w:rPr>
        <w:t xml:space="preserve"> (2023): </w:t>
      </w:r>
    </w:p>
    <w:p w14:paraId="41505010" w14:textId="35B75CC5" w:rsidR="34777304" w:rsidRDefault="34777304" w:rsidP="001B2226">
      <w:pPr>
        <w:pStyle w:val="ListParagraph"/>
        <w:numPr>
          <w:ilvl w:val="0"/>
          <w:numId w:val="1"/>
        </w:numPr>
        <w:spacing w:line="240" w:lineRule="auto"/>
        <w:rPr>
          <w:rFonts w:eastAsia="Arial" w:cs="Arial"/>
          <w:szCs w:val="24"/>
          <w:lang w:val="en-GB"/>
        </w:rPr>
      </w:pPr>
      <w:r w:rsidRPr="34777304">
        <w:rPr>
          <w:rFonts w:eastAsia="Arial" w:cs="Arial"/>
          <w:szCs w:val="24"/>
          <w:lang w:val="en-GB"/>
        </w:rPr>
        <w:t xml:space="preserve">one for DPOs on how to engage with the EU Delegations around the world  </w:t>
      </w:r>
    </w:p>
    <w:p w14:paraId="15F02219" w14:textId="64842323" w:rsidR="651F4D12" w:rsidRPr="00D9717D" w:rsidRDefault="34777304" w:rsidP="001B2226">
      <w:pPr>
        <w:pStyle w:val="ListParagraph"/>
        <w:numPr>
          <w:ilvl w:val="0"/>
          <w:numId w:val="1"/>
        </w:numPr>
        <w:spacing w:line="240" w:lineRule="auto"/>
        <w:rPr>
          <w:rFonts w:eastAsia="Arial" w:cs="Arial"/>
          <w:szCs w:val="24"/>
          <w:lang w:val="en-GB"/>
        </w:rPr>
      </w:pPr>
      <w:r w:rsidRPr="34777304">
        <w:rPr>
          <w:rFonts w:eastAsia="Arial" w:cs="Arial"/>
          <w:szCs w:val="24"/>
          <w:lang w:val="en-GB"/>
        </w:rPr>
        <w:t>one for EU Delegations on how to work with DPOs.</w:t>
      </w:r>
    </w:p>
    <w:sectPr w:rsidR="651F4D12" w:rsidRPr="00D9717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CF06" w14:textId="77777777" w:rsidR="00541C9F" w:rsidRDefault="00541C9F" w:rsidP="00564537">
      <w:pPr>
        <w:spacing w:after="0" w:line="240" w:lineRule="auto"/>
      </w:pPr>
      <w:r>
        <w:separator/>
      </w:r>
    </w:p>
  </w:endnote>
  <w:endnote w:type="continuationSeparator" w:id="0">
    <w:p w14:paraId="21E8E717" w14:textId="77777777" w:rsidR="00541C9F" w:rsidRDefault="00541C9F" w:rsidP="00564537">
      <w:pPr>
        <w:spacing w:after="0" w:line="240" w:lineRule="auto"/>
      </w:pPr>
      <w:r>
        <w:continuationSeparator/>
      </w:r>
    </w:p>
  </w:endnote>
  <w:endnote w:type="continuationNotice" w:id="1">
    <w:p w14:paraId="40AB9028" w14:textId="77777777" w:rsidR="00541C9F" w:rsidRDefault="00541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47115"/>
      <w:docPartObj>
        <w:docPartGallery w:val="Page Numbers (Bottom of Page)"/>
        <w:docPartUnique/>
      </w:docPartObj>
    </w:sdtPr>
    <w:sdtEndPr>
      <w:rPr>
        <w:noProof/>
      </w:rPr>
    </w:sdtEndPr>
    <w:sdtContent>
      <w:p w14:paraId="6805EEC2" w14:textId="30498418" w:rsidR="001B2226" w:rsidRDefault="001B2226">
        <w:pPr>
          <w:pStyle w:val="Footer"/>
          <w:jc w:val="right"/>
        </w:pPr>
        <w:r>
          <w:fldChar w:fldCharType="begin"/>
        </w:r>
        <w:r>
          <w:instrText xml:space="preserve"> PAGE   \* MERGEFORMAT </w:instrText>
        </w:r>
        <w:r>
          <w:fldChar w:fldCharType="separate"/>
        </w:r>
        <w:r w:rsidR="00586327">
          <w:rPr>
            <w:noProof/>
          </w:rPr>
          <w:t>1</w:t>
        </w:r>
        <w:r>
          <w:rPr>
            <w:noProof/>
          </w:rPr>
          <w:fldChar w:fldCharType="end"/>
        </w:r>
      </w:p>
    </w:sdtContent>
  </w:sdt>
  <w:p w14:paraId="0E1C0461" w14:textId="77777777" w:rsidR="00AB523A" w:rsidRDefault="00AB523A" w:rsidP="00564537">
    <w:pPr>
      <w:tabs>
        <w:tab w:val="center" w:pos="4536"/>
        <w:tab w:val="right" w:pos="9072"/>
      </w:tabs>
      <w:suppressAutoHyphens/>
      <w:autoSpaceDN w:val="0"/>
      <w:spacing w:after="0" w:line="240" w:lineRule="auto"/>
      <w:textAlignment w:val="baseline"/>
      <w:rPr>
        <w:rFonts w:eastAsia="Calibri" w:cs="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4CB9" w14:textId="77777777" w:rsidR="00541C9F" w:rsidRDefault="00541C9F" w:rsidP="00564537">
      <w:pPr>
        <w:spacing w:after="0" w:line="240" w:lineRule="auto"/>
      </w:pPr>
      <w:r>
        <w:separator/>
      </w:r>
    </w:p>
  </w:footnote>
  <w:footnote w:type="continuationSeparator" w:id="0">
    <w:p w14:paraId="6FB18CB4" w14:textId="77777777" w:rsidR="00541C9F" w:rsidRDefault="00541C9F" w:rsidP="00564537">
      <w:pPr>
        <w:spacing w:after="0" w:line="240" w:lineRule="auto"/>
      </w:pPr>
      <w:r>
        <w:continuationSeparator/>
      </w:r>
    </w:p>
  </w:footnote>
  <w:footnote w:type="continuationNotice" w:id="1">
    <w:p w14:paraId="223F7B85" w14:textId="77777777" w:rsidR="00541C9F" w:rsidRDefault="00541C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21D7"/>
    <w:multiLevelType w:val="hybridMultilevel"/>
    <w:tmpl w:val="B548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17D80"/>
    <w:multiLevelType w:val="hybridMultilevel"/>
    <w:tmpl w:val="EFC4D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E047DF4"/>
    <w:multiLevelType w:val="hybridMultilevel"/>
    <w:tmpl w:val="B8B479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68A760"/>
    <w:multiLevelType w:val="hybridMultilevel"/>
    <w:tmpl w:val="F2ECD0AC"/>
    <w:lvl w:ilvl="0" w:tplc="DF22A9EA">
      <w:start w:val="1"/>
      <w:numFmt w:val="bullet"/>
      <w:lvlText w:val=""/>
      <w:lvlJc w:val="left"/>
      <w:pPr>
        <w:ind w:left="360" w:hanging="360"/>
      </w:pPr>
      <w:rPr>
        <w:rFonts w:ascii="Symbol" w:hAnsi="Symbol" w:hint="default"/>
      </w:rPr>
    </w:lvl>
    <w:lvl w:ilvl="1" w:tplc="E62001E8">
      <w:start w:val="1"/>
      <w:numFmt w:val="bullet"/>
      <w:lvlText w:val="o"/>
      <w:lvlJc w:val="left"/>
      <w:pPr>
        <w:ind w:left="1080" w:hanging="360"/>
      </w:pPr>
      <w:rPr>
        <w:rFonts w:ascii="Courier New" w:hAnsi="Courier New" w:hint="default"/>
      </w:rPr>
    </w:lvl>
    <w:lvl w:ilvl="2" w:tplc="6EA2AFD8">
      <w:start w:val="1"/>
      <w:numFmt w:val="bullet"/>
      <w:lvlText w:val=""/>
      <w:lvlJc w:val="left"/>
      <w:pPr>
        <w:ind w:left="1800" w:hanging="360"/>
      </w:pPr>
      <w:rPr>
        <w:rFonts w:ascii="Wingdings" w:hAnsi="Wingdings" w:hint="default"/>
      </w:rPr>
    </w:lvl>
    <w:lvl w:ilvl="3" w:tplc="A8869D84">
      <w:start w:val="1"/>
      <w:numFmt w:val="bullet"/>
      <w:lvlText w:val=""/>
      <w:lvlJc w:val="left"/>
      <w:pPr>
        <w:ind w:left="2520" w:hanging="360"/>
      </w:pPr>
      <w:rPr>
        <w:rFonts w:ascii="Symbol" w:hAnsi="Symbol" w:hint="default"/>
      </w:rPr>
    </w:lvl>
    <w:lvl w:ilvl="4" w:tplc="691609C6">
      <w:start w:val="1"/>
      <w:numFmt w:val="bullet"/>
      <w:lvlText w:val="o"/>
      <w:lvlJc w:val="left"/>
      <w:pPr>
        <w:ind w:left="3240" w:hanging="360"/>
      </w:pPr>
      <w:rPr>
        <w:rFonts w:ascii="Courier New" w:hAnsi="Courier New" w:hint="default"/>
      </w:rPr>
    </w:lvl>
    <w:lvl w:ilvl="5" w:tplc="721C3BEA">
      <w:start w:val="1"/>
      <w:numFmt w:val="bullet"/>
      <w:lvlText w:val=""/>
      <w:lvlJc w:val="left"/>
      <w:pPr>
        <w:ind w:left="3960" w:hanging="360"/>
      </w:pPr>
      <w:rPr>
        <w:rFonts w:ascii="Wingdings" w:hAnsi="Wingdings" w:hint="default"/>
      </w:rPr>
    </w:lvl>
    <w:lvl w:ilvl="6" w:tplc="E006C9DA">
      <w:start w:val="1"/>
      <w:numFmt w:val="bullet"/>
      <w:lvlText w:val=""/>
      <w:lvlJc w:val="left"/>
      <w:pPr>
        <w:ind w:left="4680" w:hanging="360"/>
      </w:pPr>
      <w:rPr>
        <w:rFonts w:ascii="Symbol" w:hAnsi="Symbol" w:hint="default"/>
      </w:rPr>
    </w:lvl>
    <w:lvl w:ilvl="7" w:tplc="6EB0E34A">
      <w:start w:val="1"/>
      <w:numFmt w:val="bullet"/>
      <w:lvlText w:val="o"/>
      <w:lvlJc w:val="left"/>
      <w:pPr>
        <w:ind w:left="5400" w:hanging="360"/>
      </w:pPr>
      <w:rPr>
        <w:rFonts w:ascii="Courier New" w:hAnsi="Courier New" w:hint="default"/>
      </w:rPr>
    </w:lvl>
    <w:lvl w:ilvl="8" w:tplc="483A502C">
      <w:start w:val="1"/>
      <w:numFmt w:val="bullet"/>
      <w:lvlText w:val=""/>
      <w:lvlJc w:val="left"/>
      <w:pPr>
        <w:ind w:left="6120" w:hanging="360"/>
      </w:pPr>
      <w:rPr>
        <w:rFonts w:ascii="Wingdings" w:hAnsi="Wingdings" w:hint="default"/>
      </w:rPr>
    </w:lvl>
  </w:abstractNum>
  <w:abstractNum w:abstractNumId="4" w15:restartNumberingAfterBreak="0">
    <w:nsid w:val="72FE0EE9"/>
    <w:multiLevelType w:val="hybridMultilevel"/>
    <w:tmpl w:val="240425BE"/>
    <w:lvl w:ilvl="0" w:tplc="5560BF9A">
      <w:start w:val="1"/>
      <w:numFmt w:val="bullet"/>
      <w:lvlText w:val=""/>
      <w:lvlJc w:val="left"/>
      <w:pPr>
        <w:ind w:left="360" w:hanging="360"/>
      </w:pPr>
      <w:rPr>
        <w:rFonts w:ascii="Symbol" w:hAnsi="Symbol" w:hint="default"/>
      </w:rPr>
    </w:lvl>
    <w:lvl w:ilvl="1" w:tplc="F30A8A1E">
      <w:start w:val="1"/>
      <w:numFmt w:val="bullet"/>
      <w:lvlText w:val="o"/>
      <w:lvlJc w:val="left"/>
      <w:pPr>
        <w:ind w:left="1080" w:hanging="360"/>
      </w:pPr>
      <w:rPr>
        <w:rFonts w:ascii="Courier New" w:hAnsi="Courier New" w:hint="default"/>
      </w:rPr>
    </w:lvl>
    <w:lvl w:ilvl="2" w:tplc="3626C044">
      <w:start w:val="1"/>
      <w:numFmt w:val="bullet"/>
      <w:lvlText w:val=""/>
      <w:lvlJc w:val="left"/>
      <w:pPr>
        <w:ind w:left="1800" w:hanging="360"/>
      </w:pPr>
      <w:rPr>
        <w:rFonts w:ascii="Wingdings" w:hAnsi="Wingdings" w:hint="default"/>
      </w:rPr>
    </w:lvl>
    <w:lvl w:ilvl="3" w:tplc="6C14BDA8">
      <w:start w:val="1"/>
      <w:numFmt w:val="bullet"/>
      <w:lvlText w:val=""/>
      <w:lvlJc w:val="left"/>
      <w:pPr>
        <w:ind w:left="2520" w:hanging="360"/>
      </w:pPr>
      <w:rPr>
        <w:rFonts w:ascii="Symbol" w:hAnsi="Symbol" w:hint="default"/>
      </w:rPr>
    </w:lvl>
    <w:lvl w:ilvl="4" w:tplc="4560EBA0">
      <w:start w:val="1"/>
      <w:numFmt w:val="bullet"/>
      <w:lvlText w:val="o"/>
      <w:lvlJc w:val="left"/>
      <w:pPr>
        <w:ind w:left="3240" w:hanging="360"/>
      </w:pPr>
      <w:rPr>
        <w:rFonts w:ascii="Courier New" w:hAnsi="Courier New" w:hint="default"/>
      </w:rPr>
    </w:lvl>
    <w:lvl w:ilvl="5" w:tplc="16E243E0">
      <w:start w:val="1"/>
      <w:numFmt w:val="bullet"/>
      <w:lvlText w:val=""/>
      <w:lvlJc w:val="left"/>
      <w:pPr>
        <w:ind w:left="3960" w:hanging="360"/>
      </w:pPr>
      <w:rPr>
        <w:rFonts w:ascii="Wingdings" w:hAnsi="Wingdings" w:hint="default"/>
      </w:rPr>
    </w:lvl>
    <w:lvl w:ilvl="6" w:tplc="70062484">
      <w:start w:val="1"/>
      <w:numFmt w:val="bullet"/>
      <w:lvlText w:val=""/>
      <w:lvlJc w:val="left"/>
      <w:pPr>
        <w:ind w:left="4680" w:hanging="360"/>
      </w:pPr>
      <w:rPr>
        <w:rFonts w:ascii="Symbol" w:hAnsi="Symbol" w:hint="default"/>
      </w:rPr>
    </w:lvl>
    <w:lvl w:ilvl="7" w:tplc="3D506F3C">
      <w:start w:val="1"/>
      <w:numFmt w:val="bullet"/>
      <w:lvlText w:val="o"/>
      <w:lvlJc w:val="left"/>
      <w:pPr>
        <w:ind w:left="5400" w:hanging="360"/>
      </w:pPr>
      <w:rPr>
        <w:rFonts w:ascii="Courier New" w:hAnsi="Courier New" w:hint="default"/>
      </w:rPr>
    </w:lvl>
    <w:lvl w:ilvl="8" w:tplc="D1846066">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NzU1NjWyMDAzNTdU0lEKTi0uzszPAykwrAUAE9nMEiwAAAA="/>
  </w:docVars>
  <w:rsids>
    <w:rsidRoot w:val="00487B1A"/>
    <w:rsid w:val="00024DF7"/>
    <w:rsid w:val="00027E95"/>
    <w:rsid w:val="00056517"/>
    <w:rsid w:val="000632BC"/>
    <w:rsid w:val="000B3DE8"/>
    <w:rsid w:val="000C10D9"/>
    <w:rsid w:val="000C525F"/>
    <w:rsid w:val="000C581E"/>
    <w:rsid w:val="000D05DB"/>
    <w:rsid w:val="000F67F6"/>
    <w:rsid w:val="001029B0"/>
    <w:rsid w:val="001060D5"/>
    <w:rsid w:val="00112804"/>
    <w:rsid w:val="00116337"/>
    <w:rsid w:val="00117782"/>
    <w:rsid w:val="00147EB9"/>
    <w:rsid w:val="00152ABD"/>
    <w:rsid w:val="00157E19"/>
    <w:rsid w:val="001664AC"/>
    <w:rsid w:val="00186752"/>
    <w:rsid w:val="001A31ED"/>
    <w:rsid w:val="001B2226"/>
    <w:rsid w:val="001D3E27"/>
    <w:rsid w:val="001F7C61"/>
    <w:rsid w:val="00212AC2"/>
    <w:rsid w:val="002179BE"/>
    <w:rsid w:val="00231DE3"/>
    <w:rsid w:val="002414BB"/>
    <w:rsid w:val="00243B0A"/>
    <w:rsid w:val="00246F5E"/>
    <w:rsid w:val="00251599"/>
    <w:rsid w:val="0027289F"/>
    <w:rsid w:val="002913A2"/>
    <w:rsid w:val="002B2128"/>
    <w:rsid w:val="00352292"/>
    <w:rsid w:val="0035789D"/>
    <w:rsid w:val="00366AE9"/>
    <w:rsid w:val="003758F1"/>
    <w:rsid w:val="003807EE"/>
    <w:rsid w:val="00382754"/>
    <w:rsid w:val="003B2304"/>
    <w:rsid w:val="003B3CEE"/>
    <w:rsid w:val="003C1387"/>
    <w:rsid w:val="003C76C7"/>
    <w:rsid w:val="003F1F5C"/>
    <w:rsid w:val="003F3355"/>
    <w:rsid w:val="0043077F"/>
    <w:rsid w:val="004332B2"/>
    <w:rsid w:val="004712BB"/>
    <w:rsid w:val="004744B5"/>
    <w:rsid w:val="0048596F"/>
    <w:rsid w:val="00485FCE"/>
    <w:rsid w:val="00487B1A"/>
    <w:rsid w:val="004A7148"/>
    <w:rsid w:val="004C4CE6"/>
    <w:rsid w:val="004E16AB"/>
    <w:rsid w:val="004F3CBB"/>
    <w:rsid w:val="005121DC"/>
    <w:rsid w:val="00530F3B"/>
    <w:rsid w:val="00541C9F"/>
    <w:rsid w:val="00564537"/>
    <w:rsid w:val="005807C4"/>
    <w:rsid w:val="00583AF2"/>
    <w:rsid w:val="00586327"/>
    <w:rsid w:val="00593C13"/>
    <w:rsid w:val="005B0852"/>
    <w:rsid w:val="005B5310"/>
    <w:rsid w:val="005E0C42"/>
    <w:rsid w:val="005E5453"/>
    <w:rsid w:val="00607931"/>
    <w:rsid w:val="006108DE"/>
    <w:rsid w:val="00657AB1"/>
    <w:rsid w:val="00663418"/>
    <w:rsid w:val="006D385E"/>
    <w:rsid w:val="006F1CBA"/>
    <w:rsid w:val="006F60E1"/>
    <w:rsid w:val="00700CAA"/>
    <w:rsid w:val="0070654B"/>
    <w:rsid w:val="00750A6D"/>
    <w:rsid w:val="00751477"/>
    <w:rsid w:val="007A035E"/>
    <w:rsid w:val="007B15A0"/>
    <w:rsid w:val="007D5DD6"/>
    <w:rsid w:val="007F027F"/>
    <w:rsid w:val="00802D71"/>
    <w:rsid w:val="00803329"/>
    <w:rsid w:val="00813338"/>
    <w:rsid w:val="008325C2"/>
    <w:rsid w:val="00841663"/>
    <w:rsid w:val="008425B5"/>
    <w:rsid w:val="00850BED"/>
    <w:rsid w:val="00877FB6"/>
    <w:rsid w:val="00881C89"/>
    <w:rsid w:val="00887B66"/>
    <w:rsid w:val="008907C6"/>
    <w:rsid w:val="008A3367"/>
    <w:rsid w:val="008B0351"/>
    <w:rsid w:val="008E4E1A"/>
    <w:rsid w:val="008E4FBE"/>
    <w:rsid w:val="00902C05"/>
    <w:rsid w:val="00906E7C"/>
    <w:rsid w:val="009070C3"/>
    <w:rsid w:val="0093332B"/>
    <w:rsid w:val="00947571"/>
    <w:rsid w:val="00953025"/>
    <w:rsid w:val="00961EF7"/>
    <w:rsid w:val="00971B9A"/>
    <w:rsid w:val="00990AAB"/>
    <w:rsid w:val="009A00A9"/>
    <w:rsid w:val="009B0D10"/>
    <w:rsid w:val="009D3BAD"/>
    <w:rsid w:val="009F597E"/>
    <w:rsid w:val="00A04380"/>
    <w:rsid w:val="00A155DF"/>
    <w:rsid w:val="00A37744"/>
    <w:rsid w:val="00A93AE3"/>
    <w:rsid w:val="00A96547"/>
    <w:rsid w:val="00AA1934"/>
    <w:rsid w:val="00AB38D3"/>
    <w:rsid w:val="00AB523A"/>
    <w:rsid w:val="00AC3845"/>
    <w:rsid w:val="00AD0968"/>
    <w:rsid w:val="00AE3A1F"/>
    <w:rsid w:val="00AF0E48"/>
    <w:rsid w:val="00AF2C4C"/>
    <w:rsid w:val="00AF6A8B"/>
    <w:rsid w:val="00B15FC8"/>
    <w:rsid w:val="00B26B57"/>
    <w:rsid w:val="00B34B20"/>
    <w:rsid w:val="00B41077"/>
    <w:rsid w:val="00B709DB"/>
    <w:rsid w:val="00B944A5"/>
    <w:rsid w:val="00B963C9"/>
    <w:rsid w:val="00BB4A38"/>
    <w:rsid w:val="00BC0ED7"/>
    <w:rsid w:val="00BC4326"/>
    <w:rsid w:val="00BE7B39"/>
    <w:rsid w:val="00BF4064"/>
    <w:rsid w:val="00C01933"/>
    <w:rsid w:val="00C15B88"/>
    <w:rsid w:val="00C218E7"/>
    <w:rsid w:val="00C41C15"/>
    <w:rsid w:val="00C47E6E"/>
    <w:rsid w:val="00C55CB1"/>
    <w:rsid w:val="00CA0854"/>
    <w:rsid w:val="00CA0987"/>
    <w:rsid w:val="00CD461A"/>
    <w:rsid w:val="00CD7885"/>
    <w:rsid w:val="00CF5254"/>
    <w:rsid w:val="00D33304"/>
    <w:rsid w:val="00D51B94"/>
    <w:rsid w:val="00D605B9"/>
    <w:rsid w:val="00D82941"/>
    <w:rsid w:val="00D95DBC"/>
    <w:rsid w:val="00D9717D"/>
    <w:rsid w:val="00DA1CFD"/>
    <w:rsid w:val="00DA25C7"/>
    <w:rsid w:val="00DA4D8C"/>
    <w:rsid w:val="00DC5184"/>
    <w:rsid w:val="00DF2F85"/>
    <w:rsid w:val="00E13624"/>
    <w:rsid w:val="00E23A32"/>
    <w:rsid w:val="00E3392A"/>
    <w:rsid w:val="00E33C9A"/>
    <w:rsid w:val="00E510BE"/>
    <w:rsid w:val="00E53B70"/>
    <w:rsid w:val="00E56E18"/>
    <w:rsid w:val="00E659EC"/>
    <w:rsid w:val="00E81A55"/>
    <w:rsid w:val="00E90AFE"/>
    <w:rsid w:val="00EC50AD"/>
    <w:rsid w:val="00ED5998"/>
    <w:rsid w:val="00EE3F58"/>
    <w:rsid w:val="00EF4BF4"/>
    <w:rsid w:val="00F31A4D"/>
    <w:rsid w:val="00F44E2E"/>
    <w:rsid w:val="00F4535B"/>
    <w:rsid w:val="00F6454E"/>
    <w:rsid w:val="00F67C18"/>
    <w:rsid w:val="00F739A7"/>
    <w:rsid w:val="00F878C4"/>
    <w:rsid w:val="00FB0830"/>
    <w:rsid w:val="00FB535C"/>
    <w:rsid w:val="011DF2AE"/>
    <w:rsid w:val="01BDDA99"/>
    <w:rsid w:val="01FF965E"/>
    <w:rsid w:val="0202B90E"/>
    <w:rsid w:val="04D248B1"/>
    <w:rsid w:val="059F35D5"/>
    <w:rsid w:val="0698ECFC"/>
    <w:rsid w:val="07387EBE"/>
    <w:rsid w:val="07AD38F2"/>
    <w:rsid w:val="07AE77C6"/>
    <w:rsid w:val="09DF43B7"/>
    <w:rsid w:val="0B22A1EC"/>
    <w:rsid w:val="0B7A3478"/>
    <w:rsid w:val="0BCA17E2"/>
    <w:rsid w:val="0C009681"/>
    <w:rsid w:val="0C8683B3"/>
    <w:rsid w:val="0CC76671"/>
    <w:rsid w:val="0CE08ECE"/>
    <w:rsid w:val="0CE2F746"/>
    <w:rsid w:val="0E1C7A76"/>
    <w:rsid w:val="0EB48517"/>
    <w:rsid w:val="0ED27D9E"/>
    <w:rsid w:val="1028C307"/>
    <w:rsid w:val="10B93038"/>
    <w:rsid w:val="10CB43C7"/>
    <w:rsid w:val="12F8D76D"/>
    <w:rsid w:val="148F47CF"/>
    <w:rsid w:val="158085A4"/>
    <w:rsid w:val="15C63B49"/>
    <w:rsid w:val="16812051"/>
    <w:rsid w:val="1962B8F2"/>
    <w:rsid w:val="1963DDA6"/>
    <w:rsid w:val="19F487E1"/>
    <w:rsid w:val="1AD9083B"/>
    <w:rsid w:val="1C841B35"/>
    <w:rsid w:val="1D2C28A3"/>
    <w:rsid w:val="1F6CBA70"/>
    <w:rsid w:val="202221F8"/>
    <w:rsid w:val="2043D9C9"/>
    <w:rsid w:val="21EC4A5A"/>
    <w:rsid w:val="21F19454"/>
    <w:rsid w:val="220A9FCB"/>
    <w:rsid w:val="22576AB6"/>
    <w:rsid w:val="252FD688"/>
    <w:rsid w:val="258F0B78"/>
    <w:rsid w:val="28060DE7"/>
    <w:rsid w:val="294975E0"/>
    <w:rsid w:val="29C3FAC9"/>
    <w:rsid w:val="2E1CE703"/>
    <w:rsid w:val="2F29D253"/>
    <w:rsid w:val="2F6A18FC"/>
    <w:rsid w:val="307A362F"/>
    <w:rsid w:val="32F57460"/>
    <w:rsid w:val="33E41B19"/>
    <w:rsid w:val="34777304"/>
    <w:rsid w:val="37CBB6CF"/>
    <w:rsid w:val="37F2E271"/>
    <w:rsid w:val="3A0A6251"/>
    <w:rsid w:val="3A54D470"/>
    <w:rsid w:val="3B40A9DD"/>
    <w:rsid w:val="3CC37C32"/>
    <w:rsid w:val="3D3D99B2"/>
    <w:rsid w:val="3DCD1B5F"/>
    <w:rsid w:val="3ECB8F47"/>
    <w:rsid w:val="3F882A4C"/>
    <w:rsid w:val="3FE8EC1E"/>
    <w:rsid w:val="40342D04"/>
    <w:rsid w:val="40526ACE"/>
    <w:rsid w:val="411FA858"/>
    <w:rsid w:val="42289353"/>
    <w:rsid w:val="42A6A2B1"/>
    <w:rsid w:val="43272E52"/>
    <w:rsid w:val="44AA39D7"/>
    <w:rsid w:val="45C60666"/>
    <w:rsid w:val="46460A38"/>
    <w:rsid w:val="46478F76"/>
    <w:rsid w:val="4654BCB8"/>
    <w:rsid w:val="46D9B5A1"/>
    <w:rsid w:val="4AC541D3"/>
    <w:rsid w:val="4BA57789"/>
    <w:rsid w:val="4DAB3728"/>
    <w:rsid w:val="4DE19E81"/>
    <w:rsid w:val="4DFFF3F2"/>
    <w:rsid w:val="4EE81C61"/>
    <w:rsid w:val="4F2BB6B3"/>
    <w:rsid w:val="51CDFCB1"/>
    <w:rsid w:val="5307AA91"/>
    <w:rsid w:val="540DE909"/>
    <w:rsid w:val="55EADBA1"/>
    <w:rsid w:val="562215B1"/>
    <w:rsid w:val="56884577"/>
    <w:rsid w:val="582415D8"/>
    <w:rsid w:val="5902EE01"/>
    <w:rsid w:val="59B2245B"/>
    <w:rsid w:val="5A3079E4"/>
    <w:rsid w:val="5A8791B7"/>
    <w:rsid w:val="5B16A2DE"/>
    <w:rsid w:val="5B4A2710"/>
    <w:rsid w:val="5B997ED2"/>
    <w:rsid w:val="5CBD9D50"/>
    <w:rsid w:val="5CECEFC1"/>
    <w:rsid w:val="5E93575C"/>
    <w:rsid w:val="61A0B1F2"/>
    <w:rsid w:val="61C71254"/>
    <w:rsid w:val="61CAF81E"/>
    <w:rsid w:val="61DBF590"/>
    <w:rsid w:val="63837CB1"/>
    <w:rsid w:val="63D4BBB9"/>
    <w:rsid w:val="651F4D12"/>
    <w:rsid w:val="67501DC1"/>
    <w:rsid w:val="68428BF4"/>
    <w:rsid w:val="6A2D1903"/>
    <w:rsid w:val="6A8BCC29"/>
    <w:rsid w:val="6CD2DE2C"/>
    <w:rsid w:val="6CDF742B"/>
    <w:rsid w:val="6CF187BA"/>
    <w:rsid w:val="6D5C54A7"/>
    <w:rsid w:val="6F7E5451"/>
    <w:rsid w:val="6FF12EA7"/>
    <w:rsid w:val="700BA2D0"/>
    <w:rsid w:val="71511EDB"/>
    <w:rsid w:val="722FC5CA"/>
    <w:rsid w:val="7451466F"/>
    <w:rsid w:val="7567668C"/>
    <w:rsid w:val="757343AC"/>
    <w:rsid w:val="770336ED"/>
    <w:rsid w:val="7A3AD7AF"/>
    <w:rsid w:val="7B754B84"/>
    <w:rsid w:val="7C3E76FC"/>
    <w:rsid w:val="7D2F47EA"/>
    <w:rsid w:val="7ECB184B"/>
    <w:rsid w:val="7F15DD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226B5"/>
  <w15:chartTrackingRefBased/>
  <w15:docId w15:val="{EE701EB2-B95C-4E25-809C-52B0104C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37"/>
    <w:rPr>
      <w:rFonts w:ascii="Arial" w:hAnsi="Arial"/>
      <w:sz w:val="24"/>
    </w:rPr>
  </w:style>
  <w:style w:type="paragraph" w:styleId="Heading1">
    <w:name w:val="heading 1"/>
    <w:basedOn w:val="Normal"/>
    <w:next w:val="Normal"/>
    <w:link w:val="Heading1Char"/>
    <w:uiPriority w:val="9"/>
    <w:qFormat/>
    <w:rsid w:val="00487B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B1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33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2A"/>
    <w:rPr>
      <w:rFonts w:ascii="Segoe UI" w:hAnsi="Segoe UI" w:cs="Segoe UI"/>
      <w:sz w:val="18"/>
      <w:szCs w:val="18"/>
    </w:rPr>
  </w:style>
  <w:style w:type="paragraph" w:styleId="Header">
    <w:name w:val="header"/>
    <w:basedOn w:val="Normal"/>
    <w:link w:val="HeaderChar"/>
    <w:uiPriority w:val="99"/>
    <w:unhideWhenUsed/>
    <w:rsid w:val="0056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537"/>
  </w:style>
  <w:style w:type="paragraph" w:styleId="Footer">
    <w:name w:val="footer"/>
    <w:basedOn w:val="Normal"/>
    <w:link w:val="FooterChar"/>
    <w:uiPriority w:val="99"/>
    <w:unhideWhenUsed/>
    <w:rsid w:val="0056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537"/>
  </w:style>
  <w:style w:type="character" w:styleId="Hyperlink">
    <w:name w:val="Hyperlink"/>
    <w:basedOn w:val="DefaultParagraphFont"/>
    <w:uiPriority w:val="99"/>
    <w:unhideWhenUsed/>
    <w:rsid w:val="008425B5"/>
    <w:rPr>
      <w:color w:val="0563C1" w:themeColor="hyperlink"/>
      <w:u w:val="single"/>
    </w:rPr>
  </w:style>
  <w:style w:type="character" w:customStyle="1" w:styleId="UnresolvedMention1">
    <w:name w:val="Unresolved Mention1"/>
    <w:basedOn w:val="DefaultParagraphFont"/>
    <w:uiPriority w:val="99"/>
    <w:semiHidden/>
    <w:unhideWhenUsed/>
    <w:rsid w:val="008425B5"/>
    <w:rPr>
      <w:color w:val="605E5C"/>
      <w:shd w:val="clear" w:color="auto" w:fill="E1DFDD"/>
    </w:rPr>
  </w:style>
  <w:style w:type="character" w:styleId="CommentReference">
    <w:name w:val="annotation reference"/>
    <w:basedOn w:val="DefaultParagraphFont"/>
    <w:uiPriority w:val="99"/>
    <w:semiHidden/>
    <w:unhideWhenUsed/>
    <w:rsid w:val="000F67F6"/>
    <w:rPr>
      <w:sz w:val="16"/>
      <w:szCs w:val="16"/>
    </w:rPr>
  </w:style>
  <w:style w:type="paragraph" w:styleId="CommentText">
    <w:name w:val="annotation text"/>
    <w:basedOn w:val="Normal"/>
    <w:link w:val="CommentTextChar"/>
    <w:uiPriority w:val="99"/>
    <w:semiHidden/>
    <w:unhideWhenUsed/>
    <w:rsid w:val="000F67F6"/>
    <w:pPr>
      <w:spacing w:line="240" w:lineRule="auto"/>
    </w:pPr>
    <w:rPr>
      <w:sz w:val="20"/>
      <w:szCs w:val="20"/>
    </w:rPr>
  </w:style>
  <w:style w:type="character" w:customStyle="1" w:styleId="CommentTextChar">
    <w:name w:val="Comment Text Char"/>
    <w:basedOn w:val="DefaultParagraphFont"/>
    <w:link w:val="CommentText"/>
    <w:uiPriority w:val="99"/>
    <w:semiHidden/>
    <w:rsid w:val="000F67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67F6"/>
    <w:rPr>
      <w:b/>
      <w:bCs/>
    </w:rPr>
  </w:style>
  <w:style w:type="character" w:customStyle="1" w:styleId="CommentSubjectChar">
    <w:name w:val="Comment Subject Char"/>
    <w:basedOn w:val="CommentTextChar"/>
    <w:link w:val="CommentSubject"/>
    <w:uiPriority w:val="99"/>
    <w:semiHidden/>
    <w:rsid w:val="000F67F6"/>
    <w:rPr>
      <w:rFonts w:ascii="Arial" w:hAnsi="Arial"/>
      <w:b/>
      <w:bCs/>
      <w:sz w:val="20"/>
      <w:szCs w:val="20"/>
    </w:rPr>
  </w:style>
  <w:style w:type="paragraph" w:styleId="ListParagraph">
    <w:name w:val="List Paragraph"/>
    <w:basedOn w:val="Normal"/>
    <w:uiPriority w:val="34"/>
    <w:qFormat/>
    <w:rsid w:val="00D51B94"/>
    <w:pPr>
      <w:ind w:left="720"/>
      <w:contextualSpacing/>
    </w:pPr>
  </w:style>
  <w:style w:type="character" w:customStyle="1" w:styleId="Mention1">
    <w:name w:val="Mention1"/>
    <w:basedOn w:val="DefaultParagraphFont"/>
    <w:uiPriority w:val="99"/>
    <w:semiHidden/>
    <w:unhideWhenUsed/>
    <w:rsid w:val="00C41C15"/>
    <w:rPr>
      <w:color w:val="2B579A"/>
      <w:shd w:val="clear" w:color="auto" w:fill="E6E6E6"/>
    </w:rPr>
  </w:style>
  <w:style w:type="character" w:customStyle="1" w:styleId="Mentionnonrsolue1">
    <w:name w:val="Mention non résolue1"/>
    <w:basedOn w:val="DefaultParagraphFont"/>
    <w:uiPriority w:val="99"/>
    <w:semiHidden/>
    <w:unhideWhenUsed/>
    <w:rsid w:val="00C47E6E"/>
    <w:rPr>
      <w:color w:val="605E5C"/>
      <w:shd w:val="clear" w:color="auto" w:fill="E1DFDD"/>
    </w:rPr>
  </w:style>
  <w:style w:type="paragraph" w:styleId="NoSpacing">
    <w:name w:val="No Spacing"/>
    <w:uiPriority w:val="1"/>
    <w:qFormat/>
    <w:rsid w:val="008A3367"/>
    <w:pPr>
      <w:spacing w:after="0" w:line="240" w:lineRule="auto"/>
    </w:pPr>
    <w:rPr>
      <w:rFonts w:ascii="Arial" w:hAnsi="Arial"/>
      <w:sz w:val="24"/>
    </w:rPr>
  </w:style>
  <w:style w:type="character" w:customStyle="1" w:styleId="UnresolvedMention">
    <w:name w:val="Unresolved Mention"/>
    <w:basedOn w:val="DefaultParagraphFont"/>
    <w:uiPriority w:val="99"/>
    <w:semiHidden/>
    <w:unhideWhenUsed/>
    <w:rsid w:val="001B2226"/>
    <w:rPr>
      <w:color w:val="605E5C"/>
      <w:shd w:val="clear" w:color="auto" w:fill="E1DFDD"/>
    </w:rPr>
  </w:style>
  <w:style w:type="paragraph" w:styleId="Title">
    <w:name w:val="Title"/>
    <w:basedOn w:val="Normal"/>
    <w:next w:val="Normal"/>
    <w:link w:val="TitleChar"/>
    <w:uiPriority w:val="10"/>
    <w:qFormat/>
    <w:rsid w:val="001B22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2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222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B222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180">
      <w:bodyDiv w:val="1"/>
      <w:marLeft w:val="0"/>
      <w:marRight w:val="0"/>
      <w:marTop w:val="0"/>
      <w:marBottom w:val="0"/>
      <w:divBdr>
        <w:top w:val="none" w:sz="0" w:space="0" w:color="auto"/>
        <w:left w:val="none" w:sz="0" w:space="0" w:color="auto"/>
        <w:bottom w:val="none" w:sz="0" w:space="0" w:color="auto"/>
        <w:right w:val="none" w:sz="0" w:space="0" w:color="auto"/>
      </w:divBdr>
      <w:divsChild>
        <w:div w:id="101657150">
          <w:marLeft w:val="0"/>
          <w:marRight w:val="0"/>
          <w:marTop w:val="0"/>
          <w:marBottom w:val="0"/>
          <w:divBdr>
            <w:top w:val="none" w:sz="0" w:space="0" w:color="auto"/>
            <w:left w:val="none" w:sz="0" w:space="0" w:color="auto"/>
            <w:bottom w:val="none" w:sz="0" w:space="0" w:color="auto"/>
            <w:right w:val="none" w:sz="0" w:space="0" w:color="auto"/>
          </w:divBdr>
        </w:div>
      </w:divsChild>
    </w:div>
    <w:div w:id="1033725617">
      <w:bodyDiv w:val="1"/>
      <w:marLeft w:val="0"/>
      <w:marRight w:val="0"/>
      <w:marTop w:val="0"/>
      <w:marBottom w:val="0"/>
      <w:divBdr>
        <w:top w:val="none" w:sz="0" w:space="0" w:color="auto"/>
        <w:left w:val="none" w:sz="0" w:space="0" w:color="auto"/>
        <w:bottom w:val="none" w:sz="0" w:space="0" w:color="auto"/>
        <w:right w:val="none" w:sz="0" w:space="0" w:color="auto"/>
      </w:divBdr>
      <w:divsChild>
        <w:div w:id="59547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f-feph.org" TargetMode="External"/><Relationship Id="rId18" Type="http://schemas.openxmlformats.org/officeDocument/2006/relationships/hyperlink" Target="mailto:marion.steff@edf-feph.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f-feph.org/content/uploads/2023/03/Technical-brief-Disability-Inclusion-and-climate-priorities_Final.pdf" TargetMode="External"/><Relationship Id="rId2" Type="http://schemas.openxmlformats.org/officeDocument/2006/relationships/customXml" Target="../customXml/item2.xml"/><Relationship Id="rId16" Type="http://schemas.openxmlformats.org/officeDocument/2006/relationships/hyperlink" Target="https://www.edf-feph.org/content/uploads/2023/03/Technical-brief-on-gender-and-disability_final_July-13-for-layout.pdf" TargetMode="External"/><Relationship Id="rId20" Type="http://schemas.openxmlformats.org/officeDocument/2006/relationships/hyperlink" Target="https://www.edf-feph.org/toolkits-for-cooperation-between-dpos-and-eu-delegations-in-the-wor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opa.eu/capacity4dev/disability-and-development-network/documents/eu-guidance-note-leaving-noone-behind-disability-inclusion-eu-external-ac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ull@light-for-the-worl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dcconsortium.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SharedWithUsers xmlns="ac37fd43-1c6c-4dd3-9001-a3de4738739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DFE1-8A4D-4A74-A464-432868BB16B0}">
  <ds:schemaRefs>
    <ds:schemaRef ds:uri="http://schemas.microsoft.com/sharepoint/v3/contenttype/forms"/>
  </ds:schemaRefs>
</ds:datastoreItem>
</file>

<file path=customXml/itemProps2.xml><?xml version="1.0" encoding="utf-8"?>
<ds:datastoreItem xmlns:ds="http://schemas.openxmlformats.org/officeDocument/2006/customXml" ds:itemID="{10356FE5-3EFC-4849-AB85-1C860DA2E4FC}">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3.xml><?xml version="1.0" encoding="utf-8"?>
<ds:datastoreItem xmlns:ds="http://schemas.openxmlformats.org/officeDocument/2006/customXml" ds:itemID="{B9AB4704-4F0E-44D9-8FA1-A09FDBE9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DBE2A-302A-435F-8EB2-4BAC6C27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Joint EDF-IDDC statement on EU guidance note on disability inclusion</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EDF-IDDC statement on EU guidance note on disability inclusion</dc:title>
  <dc:subject/>
  <dc:creator>Marine Uldry</dc:creator>
  <cp:keywords/>
  <dc:description/>
  <cp:lastModifiedBy>Angelique Hardy</cp:lastModifiedBy>
  <cp:revision>2</cp:revision>
  <cp:lastPrinted>2018-05-07T20:35:00Z</cp:lastPrinted>
  <dcterms:created xsi:type="dcterms:W3CDTF">2023-03-28T14:39:00Z</dcterms:created>
  <dcterms:modified xsi:type="dcterms:W3CDTF">2023-03-28T14:39:00Z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y fmtid="{D5CDD505-2E9C-101B-9397-08002B2CF9AE}" pid="4" name="GrammarlyDocumentId">
    <vt:lpwstr>18b38392080a6116ce6ae92279c59c7a774fddeefcf6f7a7b2e0d3402dbb84d6</vt:lpwstr>
  </property>
</Properties>
</file>